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  <w:bookmarkStart w:id="0" w:name="__DdeLink__79_2038373317"/>
      <w:bookmarkEnd w:id="0"/>
      <w:r>
        <w:rPr>
          <w:sz w:val="24"/>
          <w:szCs w:val="24"/>
        </w:rPr>
        <w:t xml:space="preserve">SPD- Ortsverein Weichs, Freiherrnstr. 28, 85258 Weichs </w:t>
      </w:r>
    </w:p>
    <w:p w:rsid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An den außerordentlichen SPD-Bundesparteitag am 25.Juni 2017</w:t>
      </w:r>
    </w:p>
    <w:p w:rsidR="00425B65" w:rsidRDefault="00DB1155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 xml:space="preserve">Antrag 3: Rentenpolitik </w:t>
      </w:r>
    </w:p>
    <w:p w:rsidR="00425B65" w:rsidRDefault="0039054E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 xml:space="preserve">Im Kreis Dachau, immerhin der Landkreis, der in der bundesweiten Statistik des Pro-Kopf-Einkommens an neunter Stelle steht, liegt die Höhe der Altersrenten für Frauen bei gut 600 </w:t>
      </w:r>
      <w:bookmarkStart w:id="1" w:name="__DdeLink__40_1944595320"/>
      <w:r>
        <w:rPr>
          <w:sz w:val="24"/>
          <w:szCs w:val="24"/>
        </w:rPr>
        <w:t>€</w:t>
      </w:r>
      <w:bookmarkEnd w:id="1"/>
      <w:r w:rsidR="00DB1155">
        <w:rPr>
          <w:sz w:val="24"/>
          <w:szCs w:val="24"/>
        </w:rPr>
        <w:t xml:space="preserve"> und für Männer bei </w:t>
      </w:r>
      <w:bookmarkStart w:id="2" w:name="_GoBack"/>
      <w:bookmarkEnd w:id="2"/>
      <w:r>
        <w:rPr>
          <w:sz w:val="24"/>
          <w:szCs w:val="24"/>
        </w:rPr>
        <w:t xml:space="preserve">1150 €. </w:t>
      </w:r>
    </w:p>
    <w:p w:rsidR="00425B65" w:rsidRDefault="0039054E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 xml:space="preserve">In Deutschland ist die Absenkung des Rentenniveaus auf 43% der Bruttoeinkommen geplant. </w:t>
      </w:r>
    </w:p>
    <w:p w:rsidR="00425B65" w:rsidRDefault="0039054E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>Erforderlich ist allerdings die Stärkung des umlagefinanzierten Rentensystems, weil sowohl die private Rentenversicherung à la Riester und die betriebliche Altersversi</w:t>
      </w:r>
      <w:r>
        <w:rPr>
          <w:sz w:val="24"/>
          <w:szCs w:val="24"/>
        </w:rPr>
        <w:t xml:space="preserve">cherung den Risiken der Kapitalmarktentwicklung unterliegen und die erforderlichen Beiträge gerade von den Geringverdiener nicht geleistet werden können. </w:t>
      </w:r>
    </w:p>
    <w:p w:rsidR="00425B65" w:rsidRDefault="0039054E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>Die Riester – Rente ist daher bei Vertrauensschutz für bestehende Verträge abzuschaffen.</w:t>
      </w:r>
    </w:p>
    <w:p w:rsidR="00425B65" w:rsidRDefault="0039054E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>Krisenfest u</w:t>
      </w:r>
      <w:r>
        <w:rPr>
          <w:sz w:val="24"/>
          <w:szCs w:val="24"/>
        </w:rPr>
        <w:t xml:space="preserve">nd zukunftssicher ist allein die Umlagefinanzierung der gesetzlichen Rentenversicherung. </w:t>
      </w:r>
    </w:p>
    <w:p w:rsidR="00425B65" w:rsidRDefault="0039054E" w:rsidP="00DB1155">
      <w:pPr>
        <w:pStyle w:val="western"/>
        <w:spacing w:before="280" w:after="198" w:line="276" w:lineRule="auto"/>
        <w:ind w:left="709"/>
      </w:pPr>
      <w:r>
        <w:rPr>
          <w:sz w:val="24"/>
          <w:szCs w:val="24"/>
        </w:rPr>
        <w:t>In diese sind alle Erwerbstätigen einzubeziehen, so wie es in Österreich der Fall ist. Dort sind auch die Beitragsbemessungsgrenzen wesentlich höher als bei uns, währ</w:t>
      </w:r>
      <w:r>
        <w:rPr>
          <w:sz w:val="24"/>
          <w:szCs w:val="24"/>
        </w:rPr>
        <w:t>end die durchschnittlichen Renten sowohl für Frauen als auch für Männer die deutschen deutlich übertreffen.</w:t>
      </w:r>
    </w:p>
    <w:p w:rsidR="00425B65" w:rsidRDefault="0039054E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Ziel muss sein, das gesetzliche Rentenniveau in Deutschland oberhalb von 50% zu stabilisieren.</w:t>
      </w:r>
    </w:p>
    <w:p w:rsid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</w:p>
    <w:p w:rsid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Weichs, 22.05.2017</w:t>
      </w:r>
    </w:p>
    <w:p w:rsid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</w:p>
    <w:p w:rsid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Heinrich Fitger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Ludger Elmer </w:t>
      </w:r>
    </w:p>
    <w:p w:rsidR="00DB1155" w:rsidRPr="00DB1155" w:rsidRDefault="00DB1155" w:rsidP="00DB1155">
      <w:pPr>
        <w:pStyle w:val="western"/>
        <w:spacing w:before="280" w:after="198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1.Vorsitzender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2.Vorsitzender </w:t>
      </w:r>
    </w:p>
    <w:sectPr w:rsidR="00DB1155" w:rsidRPr="00DB1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4E" w:rsidRDefault="0039054E">
      <w:pPr>
        <w:spacing w:after="0" w:line="240" w:lineRule="auto"/>
      </w:pPr>
      <w:r>
        <w:separator/>
      </w:r>
    </w:p>
  </w:endnote>
  <w:endnote w:type="continuationSeparator" w:id="0">
    <w:p w:rsidR="0039054E" w:rsidRDefault="003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55" w:rsidRDefault="00DB11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55" w:rsidRDefault="00DB11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55" w:rsidRDefault="00DB11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4E" w:rsidRDefault="0039054E">
      <w:pPr>
        <w:spacing w:after="0" w:line="240" w:lineRule="auto"/>
      </w:pPr>
      <w:r>
        <w:separator/>
      </w:r>
    </w:p>
  </w:footnote>
  <w:footnote w:type="continuationSeparator" w:id="0">
    <w:p w:rsidR="0039054E" w:rsidRDefault="003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55" w:rsidRDefault="00DB11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65" w:rsidRDefault="0039054E">
    <w:pPr>
      <w:pStyle w:val="Kopfzeile"/>
    </w:pPr>
    <w:r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155" w:rsidRDefault="00DB11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2FFE"/>
    <w:multiLevelType w:val="hybridMultilevel"/>
    <w:tmpl w:val="AD80724E"/>
    <w:lvl w:ilvl="0" w:tplc="7E6A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C2FBC"/>
    <w:multiLevelType w:val="hybridMultilevel"/>
    <w:tmpl w:val="CA98B462"/>
    <w:lvl w:ilvl="0" w:tplc="702A664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65"/>
    <w:rsid w:val="0039054E"/>
    <w:rsid w:val="00425B65"/>
    <w:rsid w:val="00D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85EB-64C7-46C9-9CFD-E329475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06A"/>
    <w:pPr>
      <w:suppressAutoHyphens/>
      <w:spacing w:after="200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653D7"/>
  </w:style>
  <w:style w:type="character" w:customStyle="1" w:styleId="FuzeileZchn">
    <w:name w:val="Fußzeile Zchn"/>
    <w:basedOn w:val="Absatz-Standardschriftart"/>
    <w:link w:val="Fuzeile"/>
    <w:uiPriority w:val="99"/>
    <w:qFormat/>
    <w:rsid w:val="009653D7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Calibri" w:hAnsi="Calibri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Calibri" w:hAnsi="Calibri" w:cs="Mangal"/>
    </w:rPr>
  </w:style>
  <w:style w:type="paragraph" w:customStyle="1" w:styleId="western">
    <w:name w:val="western"/>
    <w:basedOn w:val="Standard"/>
    <w:qFormat/>
    <w:rsid w:val="008D7874"/>
    <w:pPr>
      <w:spacing w:beforeAutospacing="1" w:after="142" w:line="288" w:lineRule="auto"/>
    </w:pPr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D787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qFormat/>
    <w:rsid w:val="008D7874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653D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653D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Christiane Fitger</cp:lastModifiedBy>
  <cp:revision>2</cp:revision>
  <cp:lastPrinted>2017-05-22T09:54:00Z</cp:lastPrinted>
  <dcterms:created xsi:type="dcterms:W3CDTF">2017-05-22T11:22:00Z</dcterms:created>
  <dcterms:modified xsi:type="dcterms:W3CDTF">2017-05-22T11:22:00Z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