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DF271" w14:textId="77777777" w:rsidR="003F20C1" w:rsidRDefault="003F20C1" w:rsidP="001E725C">
      <w:pPr>
        <w:spacing w:after="0" w:line="240" w:lineRule="auto"/>
        <w:rPr>
          <w:rFonts w:ascii="Arial" w:hAnsi="Arial" w:cs="Arial"/>
        </w:rPr>
      </w:pPr>
      <w:r>
        <w:rPr>
          <w:rFonts w:ascii="Arial" w:hAnsi="Arial" w:cs="Arial"/>
        </w:rPr>
        <w:t>Antragsteller: Kreisverband Lörrach</w:t>
      </w:r>
    </w:p>
    <w:p w14:paraId="68CAA553" w14:textId="77777777" w:rsidR="003F20C1" w:rsidRDefault="003F20C1" w:rsidP="001E725C">
      <w:pPr>
        <w:spacing w:after="0" w:line="240" w:lineRule="auto"/>
        <w:rPr>
          <w:rFonts w:ascii="Arial" w:hAnsi="Arial" w:cs="Arial"/>
        </w:rPr>
      </w:pPr>
    </w:p>
    <w:p w14:paraId="41355DE8" w14:textId="1AC3DD49" w:rsidR="003F20C1" w:rsidRDefault="003F20C1" w:rsidP="001E725C">
      <w:pPr>
        <w:spacing w:after="0" w:line="240" w:lineRule="auto"/>
        <w:rPr>
          <w:rFonts w:ascii="Arial" w:hAnsi="Arial" w:cs="Arial"/>
        </w:rPr>
      </w:pPr>
      <w:r>
        <w:rPr>
          <w:rFonts w:ascii="Arial" w:hAnsi="Arial" w:cs="Arial"/>
        </w:rPr>
        <w:t xml:space="preserve">Empfänger: </w:t>
      </w:r>
      <w:r w:rsidR="007A0B4F">
        <w:rPr>
          <w:rFonts w:ascii="Arial" w:hAnsi="Arial" w:cs="Arial"/>
        </w:rPr>
        <w:t>SPD-Bundesparteitag 25.06.2017</w:t>
      </w:r>
      <w:bookmarkStart w:id="0" w:name="_GoBack"/>
      <w:bookmarkEnd w:id="0"/>
    </w:p>
    <w:p w14:paraId="376077AE" w14:textId="77777777" w:rsidR="003F20C1" w:rsidRDefault="003F20C1" w:rsidP="001E725C">
      <w:pPr>
        <w:spacing w:after="0" w:line="240" w:lineRule="auto"/>
        <w:rPr>
          <w:rFonts w:ascii="Arial" w:hAnsi="Arial" w:cs="Arial"/>
          <w:b/>
          <w:color w:val="FF0000"/>
        </w:rPr>
      </w:pPr>
    </w:p>
    <w:p w14:paraId="0ADC255B" w14:textId="77777777" w:rsidR="003F20C1" w:rsidRDefault="003F20C1" w:rsidP="001E725C">
      <w:pPr>
        <w:spacing w:after="0" w:line="240" w:lineRule="auto"/>
        <w:rPr>
          <w:rFonts w:ascii="Arial" w:hAnsi="Arial" w:cs="Arial"/>
        </w:rPr>
      </w:pPr>
    </w:p>
    <w:p w14:paraId="3BB17825" w14:textId="77777777" w:rsidR="003F20C1" w:rsidRDefault="003F20C1" w:rsidP="001E725C">
      <w:pPr>
        <w:rPr>
          <w:rFonts w:ascii="Arial" w:hAnsi="Arial" w:cs="Arial"/>
        </w:rPr>
      </w:pPr>
    </w:p>
    <w:p w14:paraId="2FFA59A1" w14:textId="3E1523AC" w:rsidR="00843874" w:rsidRPr="00843874" w:rsidRDefault="003F20C1" w:rsidP="001E725C">
      <w:pPr>
        <w:rPr>
          <w:rFonts w:ascii="Arial" w:hAnsi="Arial" w:cs="Arial"/>
        </w:rPr>
      </w:pPr>
      <w:r>
        <w:rPr>
          <w:rFonts w:ascii="Arial" w:hAnsi="Arial" w:cs="Arial"/>
        </w:rPr>
        <w:t>Antrag:</w:t>
      </w:r>
      <w:r w:rsidR="009B478F">
        <w:rPr>
          <w:rFonts w:ascii="Arial" w:hAnsi="Arial" w:cs="Arial"/>
        </w:rPr>
        <w:t xml:space="preserve"> </w:t>
      </w:r>
      <w:r w:rsidR="00843874" w:rsidRPr="00843874">
        <w:rPr>
          <w:rFonts w:ascii="Arial" w:hAnsi="Arial" w:cs="Arial"/>
        </w:rPr>
        <w:t>CETA reißt unsere roten Linien</w:t>
      </w:r>
    </w:p>
    <w:p w14:paraId="58D832FB" w14:textId="0C84CFD1" w:rsidR="00843874" w:rsidRPr="00843874" w:rsidRDefault="003F20C1" w:rsidP="001E725C">
      <w:pPr>
        <w:rPr>
          <w:rFonts w:ascii="Arial" w:hAnsi="Arial" w:cs="Arial"/>
        </w:rPr>
      </w:pPr>
      <w:r>
        <w:rPr>
          <w:rFonts w:ascii="Arial" w:hAnsi="Arial" w:cs="Arial"/>
        </w:rPr>
        <w:t>Z</w:t>
      </w:r>
      <w:r w:rsidR="00843874" w:rsidRPr="00843874">
        <w:rPr>
          <w:rFonts w:ascii="Arial" w:hAnsi="Arial" w:cs="Arial"/>
        </w:rPr>
        <w:t xml:space="preserve">entrale Vorgaben in CETA </w:t>
      </w:r>
      <w:r>
        <w:rPr>
          <w:rFonts w:ascii="Arial" w:hAnsi="Arial" w:cs="Arial"/>
        </w:rPr>
        <w:t xml:space="preserve">wurden </w:t>
      </w:r>
      <w:r w:rsidR="00843874" w:rsidRPr="00843874">
        <w:rPr>
          <w:rFonts w:ascii="Arial" w:hAnsi="Arial" w:cs="Arial"/>
        </w:rPr>
        <w:t>nicht umgesetzt:</w:t>
      </w:r>
    </w:p>
    <w:p w14:paraId="73672749" w14:textId="77777777" w:rsidR="00843874" w:rsidRDefault="00843874" w:rsidP="001E725C">
      <w:pPr>
        <w:pStyle w:val="Listenabsatz"/>
        <w:numPr>
          <w:ilvl w:val="0"/>
          <w:numId w:val="41"/>
        </w:numPr>
        <w:rPr>
          <w:rFonts w:ascii="Arial" w:hAnsi="Arial" w:cs="Arial"/>
        </w:rPr>
      </w:pPr>
      <w:r w:rsidRPr="00843874">
        <w:rPr>
          <w:rFonts w:ascii="Arial" w:hAnsi="Arial" w:cs="Arial"/>
        </w:rPr>
        <w:t xml:space="preserve">Zwar sollen zukünftig die </w:t>
      </w:r>
      <w:proofErr w:type="spellStart"/>
      <w:r w:rsidRPr="00843874">
        <w:rPr>
          <w:rFonts w:ascii="Arial" w:hAnsi="Arial" w:cs="Arial"/>
        </w:rPr>
        <w:t>RichterInnen</w:t>
      </w:r>
      <w:proofErr w:type="spellEnd"/>
      <w:r w:rsidRPr="00843874">
        <w:rPr>
          <w:rFonts w:ascii="Arial" w:hAnsi="Arial" w:cs="Arial"/>
        </w:rPr>
        <w:t xml:space="preserve"> des Tribunals von den Vertragsparteien benannt werden, nicht mehr vom Kläger, aber sie erhalten einen Großteil ihres Gehalts weiterhin pro Fall, nicht durch eine ständige Vergütung. Sowohl Ernennung als auch Vergütung entsprechen nicht den internationalen Standards zur Unabhängigkeit von </w:t>
      </w:r>
      <w:proofErr w:type="spellStart"/>
      <w:r w:rsidRPr="00843874">
        <w:rPr>
          <w:rFonts w:ascii="Arial" w:hAnsi="Arial" w:cs="Arial"/>
        </w:rPr>
        <w:t>RichterInnen</w:t>
      </w:r>
      <w:proofErr w:type="spellEnd"/>
      <w:r w:rsidRPr="00843874">
        <w:rPr>
          <w:rFonts w:ascii="Arial" w:hAnsi="Arial" w:cs="Arial"/>
        </w:rPr>
        <w:t>.</w:t>
      </w:r>
    </w:p>
    <w:p w14:paraId="32A50519" w14:textId="77777777" w:rsidR="00843874" w:rsidRPr="00843874" w:rsidRDefault="00843874" w:rsidP="001E725C">
      <w:pPr>
        <w:pStyle w:val="Listenabsatz"/>
        <w:numPr>
          <w:ilvl w:val="0"/>
          <w:numId w:val="41"/>
        </w:numPr>
        <w:rPr>
          <w:rFonts w:ascii="Arial" w:hAnsi="Arial" w:cs="Arial"/>
        </w:rPr>
      </w:pPr>
      <w:r w:rsidRPr="00843874">
        <w:rPr>
          <w:rFonts w:ascii="Arial" w:eastAsia="Calibri" w:hAnsi="Arial" w:cs="Arial"/>
          <w:lang w:eastAsia="en-US"/>
        </w:rPr>
        <w:t xml:space="preserve">Der </w:t>
      </w:r>
      <w:proofErr w:type="spellStart"/>
      <w:r w:rsidRPr="00843874">
        <w:rPr>
          <w:rFonts w:ascii="Arial" w:eastAsia="Calibri" w:hAnsi="Arial" w:cs="Arial"/>
          <w:lang w:eastAsia="en-US"/>
        </w:rPr>
        <w:t>Konventsbeschluss</w:t>
      </w:r>
      <w:proofErr w:type="spellEnd"/>
      <w:r w:rsidRPr="00843874">
        <w:rPr>
          <w:rFonts w:ascii="Arial" w:eastAsia="Calibri" w:hAnsi="Arial" w:cs="Arial"/>
          <w:lang w:eastAsia="en-US"/>
        </w:rPr>
        <w:t xml:space="preserve"> formulierte eindeutig, dass unsichere Rechtsbegriffe wie „faire und gerechte Behandlung“ und „indirekte Enteignung“ abzulehnen sind. Diese Begriffe finden sich auch im aktualisierten CETA. Der Versuch, sie mit weiteren unbestimmten Rechtsbegriffen zu definieren, bringt kaum Verbesserungen.</w:t>
      </w:r>
    </w:p>
    <w:p w14:paraId="386C68FF" w14:textId="77777777" w:rsidR="00843874" w:rsidRPr="00843874" w:rsidRDefault="00843874" w:rsidP="001E725C">
      <w:pPr>
        <w:pStyle w:val="Listenabsatz"/>
        <w:numPr>
          <w:ilvl w:val="0"/>
          <w:numId w:val="41"/>
        </w:numPr>
        <w:rPr>
          <w:rFonts w:ascii="Arial" w:hAnsi="Arial" w:cs="Arial"/>
        </w:rPr>
      </w:pPr>
      <w:r w:rsidRPr="00843874">
        <w:rPr>
          <w:rFonts w:ascii="Arial" w:eastAsia="Calibri" w:hAnsi="Arial" w:cs="Arial"/>
          <w:lang w:eastAsia="en-US"/>
        </w:rPr>
        <w:t>Das Verhältnis zum nationalen Rechtsweg bleibt problematisch. CETA enthält keine Klausel, dass der nationale Rechtsweg ausgeschöpft werden muss, bevor ein Verfahren vor einem Schiedstribunal angestrebt wird.</w:t>
      </w:r>
    </w:p>
    <w:p w14:paraId="6AC7FEFC" w14:textId="3204DC13" w:rsidR="00843874" w:rsidRPr="00843874" w:rsidRDefault="00843874" w:rsidP="001E725C">
      <w:pPr>
        <w:pStyle w:val="Listenabsatz"/>
        <w:numPr>
          <w:ilvl w:val="0"/>
          <w:numId w:val="41"/>
        </w:numPr>
        <w:rPr>
          <w:rFonts w:ascii="Arial" w:hAnsi="Arial" w:cs="Arial"/>
        </w:rPr>
      </w:pPr>
      <w:r w:rsidRPr="00843874">
        <w:rPr>
          <w:rFonts w:ascii="Arial" w:eastAsia="Calibri" w:hAnsi="Arial" w:cs="Arial"/>
          <w:lang w:eastAsia="en-US"/>
        </w:rPr>
        <w:t xml:space="preserve">Das Verfahren vor dem Tribunal ist weiterhin nur für ausländische Investoren offen, für die damit eigens eine Sondergerichtsbarkeit geschaffen ist. </w:t>
      </w:r>
      <w:proofErr w:type="spellStart"/>
      <w:r w:rsidRPr="00843874">
        <w:rPr>
          <w:rFonts w:ascii="Arial" w:eastAsia="Calibri" w:hAnsi="Arial" w:cs="Arial"/>
          <w:lang w:eastAsia="en-US"/>
        </w:rPr>
        <w:t>ArbeitnehmerInnen</w:t>
      </w:r>
      <w:proofErr w:type="spellEnd"/>
      <w:r w:rsidRPr="00843874">
        <w:rPr>
          <w:rFonts w:ascii="Arial" w:eastAsia="Calibri" w:hAnsi="Arial" w:cs="Arial"/>
          <w:lang w:eastAsia="en-US"/>
        </w:rPr>
        <w:t xml:space="preserve"> und Gewerkschaften haben diese Möglichkeit nicht. Für Verletzung der Arbeits- und Sozialstandards steht überhaupt kein Streitschlichtungsmechanismus in CETA bereit. Dieser ist explizit für das Kapitel zu Handel und Arbeit ausgenommen.</w:t>
      </w:r>
    </w:p>
    <w:p w14:paraId="7F7B8BC8" w14:textId="77777777" w:rsidR="00843874" w:rsidRDefault="00843874" w:rsidP="001E725C">
      <w:pPr>
        <w:rPr>
          <w:rFonts w:ascii="Arial" w:hAnsi="Arial" w:cs="Arial"/>
        </w:rPr>
      </w:pPr>
    </w:p>
    <w:p w14:paraId="158DEB08" w14:textId="77777777" w:rsidR="00843874" w:rsidRPr="00843874" w:rsidRDefault="00843874" w:rsidP="001E725C">
      <w:pPr>
        <w:rPr>
          <w:rFonts w:ascii="Arial" w:hAnsi="Arial" w:cs="Arial"/>
        </w:rPr>
      </w:pPr>
      <w:r w:rsidRPr="00843874">
        <w:rPr>
          <w:rFonts w:ascii="Arial" w:hAnsi="Arial" w:cs="Arial"/>
        </w:rPr>
        <w:t>Weitere Vorgaben der beschlossenen roten Linien werden nicht umgesetzt:</w:t>
      </w:r>
    </w:p>
    <w:p w14:paraId="007E5186" w14:textId="3EBD35C5" w:rsidR="00843874" w:rsidRPr="00843874" w:rsidRDefault="00843874" w:rsidP="001E725C">
      <w:pPr>
        <w:pStyle w:val="Listenabsatz"/>
        <w:numPr>
          <w:ilvl w:val="0"/>
          <w:numId w:val="42"/>
        </w:numPr>
        <w:rPr>
          <w:rFonts w:ascii="Arial" w:hAnsi="Arial" w:cs="Arial"/>
        </w:rPr>
      </w:pPr>
      <w:r w:rsidRPr="00843874">
        <w:rPr>
          <w:rFonts w:ascii="Arial" w:hAnsi="Arial" w:cs="Arial"/>
        </w:rPr>
        <w:t>Zwar sollen Vertragspartner die Arbeits- und Sozialstandards wie die ILO-Kernarbeitsnormen umsetzen. Allerdings gibt es keinerlei Sanktionsmechanismus, wenn sie dies nicht tun oder wenn gegen die Kernarbeitsnormen verstoßen wird.</w:t>
      </w:r>
    </w:p>
    <w:p w14:paraId="090A3D54" w14:textId="4DB349F1" w:rsidR="00843874" w:rsidRPr="00843874" w:rsidRDefault="00843874" w:rsidP="001E725C">
      <w:pPr>
        <w:pStyle w:val="Listenabsatz"/>
        <w:numPr>
          <w:ilvl w:val="0"/>
          <w:numId w:val="42"/>
        </w:numPr>
        <w:rPr>
          <w:rFonts w:ascii="Arial" w:hAnsi="Arial" w:cs="Arial"/>
        </w:rPr>
      </w:pPr>
      <w:r w:rsidRPr="00843874">
        <w:rPr>
          <w:rFonts w:ascii="Arial" w:hAnsi="Arial" w:cs="Arial"/>
        </w:rPr>
        <w:t>Die Liberalisierung von Dienstleistungen wird in CETA über einen Negativlistenansatz verfolgt. Dieser stellt keinen effektiven Schutz der öffentlichen Daseinsvorsorge dar, da somit evtl. nicht aufgeführte Dienstleistungen einem Liberalisierungszwang unterstehen.</w:t>
      </w:r>
    </w:p>
    <w:p w14:paraId="68DF631B" w14:textId="66C31D2B" w:rsidR="00843874" w:rsidRPr="00843874" w:rsidRDefault="00843874" w:rsidP="001E725C">
      <w:pPr>
        <w:pStyle w:val="Listenabsatz"/>
        <w:numPr>
          <w:ilvl w:val="0"/>
          <w:numId w:val="42"/>
        </w:numPr>
        <w:rPr>
          <w:rFonts w:ascii="Arial" w:hAnsi="Arial" w:cs="Arial"/>
        </w:rPr>
      </w:pPr>
      <w:r w:rsidRPr="00843874">
        <w:rPr>
          <w:rFonts w:ascii="Arial" w:hAnsi="Arial" w:cs="Arial"/>
        </w:rPr>
        <w:t>CETA enthält keinerlei Klausel, die eine Korrektur von unerwünschten Fehlentwicklungen und Kündigung ermöglicht. Eine Kündigung des Vertrages ist nur mit einer Frist von 20 Jahren möglich, in denen das Investitionsschutzkapitel weiter besteht.</w:t>
      </w:r>
    </w:p>
    <w:p w14:paraId="5CE9F2DD" w14:textId="77777777" w:rsidR="00843874" w:rsidRPr="00843874" w:rsidRDefault="00843874" w:rsidP="001E725C">
      <w:pPr>
        <w:pStyle w:val="Listenabsatz"/>
        <w:numPr>
          <w:ilvl w:val="0"/>
          <w:numId w:val="42"/>
        </w:numPr>
        <w:rPr>
          <w:rFonts w:ascii="Arial" w:hAnsi="Arial" w:cs="Arial"/>
        </w:rPr>
      </w:pPr>
      <w:r w:rsidRPr="00843874">
        <w:rPr>
          <w:rFonts w:ascii="Arial" w:hAnsi="Arial" w:cs="Arial"/>
        </w:rPr>
        <w:t xml:space="preserve">Trotz Verbesserungen sind viele der von uns aufgestellten Forderungen nicht im CETA-Text enthalten. Das so vorgelegte Abkommen bietet keinen ausreichenden Schutz für </w:t>
      </w:r>
      <w:proofErr w:type="spellStart"/>
      <w:r w:rsidRPr="00843874">
        <w:rPr>
          <w:rFonts w:ascii="Arial" w:hAnsi="Arial" w:cs="Arial"/>
        </w:rPr>
        <w:t>ArbeitnehmerInnen</w:t>
      </w:r>
      <w:proofErr w:type="spellEnd"/>
      <w:r w:rsidRPr="00843874">
        <w:rPr>
          <w:rFonts w:ascii="Arial" w:hAnsi="Arial" w:cs="Arial"/>
        </w:rPr>
        <w:t xml:space="preserve">, die </w:t>
      </w:r>
      <w:proofErr w:type="spellStart"/>
      <w:r w:rsidRPr="00843874">
        <w:rPr>
          <w:rFonts w:ascii="Arial" w:hAnsi="Arial" w:cs="Arial"/>
        </w:rPr>
        <w:t>VerbraucherInnen</w:t>
      </w:r>
      <w:proofErr w:type="spellEnd"/>
      <w:r w:rsidRPr="00843874">
        <w:rPr>
          <w:rFonts w:ascii="Arial" w:hAnsi="Arial" w:cs="Arial"/>
        </w:rPr>
        <w:t>, die Umwelt und die öffentliche Daseinsvorsorge. Unter diesen Bedingungen fordern wir die SPD-</w:t>
      </w:r>
      <w:proofErr w:type="spellStart"/>
      <w:r w:rsidRPr="00843874">
        <w:rPr>
          <w:rFonts w:ascii="Arial" w:hAnsi="Arial" w:cs="Arial"/>
        </w:rPr>
        <w:t>VertreterInnen</w:t>
      </w:r>
      <w:proofErr w:type="spellEnd"/>
      <w:r w:rsidRPr="00843874">
        <w:rPr>
          <w:rFonts w:ascii="Arial" w:hAnsi="Arial" w:cs="Arial"/>
        </w:rPr>
        <w:t xml:space="preserve"> im Rat, im Europäischen Parlament und im Bundestag auf, das Abkommen abzulehnen. </w:t>
      </w:r>
    </w:p>
    <w:p w14:paraId="6E9A4911" w14:textId="7B86ED16" w:rsidR="009B478F" w:rsidRDefault="003F20C1" w:rsidP="001E725C">
      <w:pPr>
        <w:rPr>
          <w:rFonts w:ascii="Arial" w:hAnsi="Arial" w:cs="Arial"/>
        </w:rPr>
      </w:pPr>
      <w:r>
        <w:rPr>
          <w:rFonts w:ascii="Arial" w:hAnsi="Arial" w:cs="Arial"/>
        </w:rPr>
        <w:lastRenderedPageBreak/>
        <w:t>Begründung:</w:t>
      </w:r>
    </w:p>
    <w:p w14:paraId="024256D0" w14:textId="77777777" w:rsidR="003F20C1" w:rsidRPr="00843874" w:rsidRDefault="003F20C1" w:rsidP="001E725C">
      <w:pPr>
        <w:rPr>
          <w:rFonts w:ascii="Arial" w:hAnsi="Arial" w:cs="Arial"/>
        </w:rPr>
      </w:pPr>
      <w:r w:rsidRPr="00843874">
        <w:rPr>
          <w:rFonts w:ascii="Arial" w:hAnsi="Arial" w:cs="Arial"/>
        </w:rPr>
        <w:t>Im September 2014 und auf dem Bundesparteitag 2015 hat die SPD 14 rote Linien beschlossen, deren Einhaltung für eine Zustimmung der Partei zu den Freihandelsverträgen TTIP und CETA notwendig waren.</w:t>
      </w:r>
    </w:p>
    <w:p w14:paraId="50CDA02E" w14:textId="460919BE" w:rsidR="003F20C1" w:rsidRDefault="003F20C1" w:rsidP="001E725C">
      <w:pPr>
        <w:rPr>
          <w:rFonts w:ascii="Arial" w:hAnsi="Arial" w:cs="Arial"/>
        </w:rPr>
      </w:pPr>
      <w:r w:rsidRPr="00843874">
        <w:rPr>
          <w:rFonts w:ascii="Arial" w:hAnsi="Arial" w:cs="Arial"/>
        </w:rPr>
        <w:t>Wir erkennen an, dass in der Folge durch Nachverhandlungen mit der neuen kanadischen Regierung Verbesserungen in CETA erreicht werden konnten. Unglücklicherweise konnte nur das Kapitel zum Investitionsrecht erneut verhandelt werden, während andere Punkte anscheinend nicht aufgegriffen wurden. Es ist erfreulich, dass die Initiative mehrerer sozialdemokratischen Minister zu einer Einrichtung eines internationalen Investitionsgerichtshofes aufgegriffen wurde.</w:t>
      </w:r>
    </w:p>
    <w:p w14:paraId="662D5FFF" w14:textId="77777777" w:rsidR="003F20C1" w:rsidRDefault="003F20C1" w:rsidP="001E725C">
      <w:pPr>
        <w:rPr>
          <w:rFonts w:ascii="Arial" w:hAnsi="Arial" w:cs="Arial"/>
        </w:rPr>
      </w:pPr>
    </w:p>
    <w:p w14:paraId="09EC923F" w14:textId="77777777" w:rsidR="003F20C1" w:rsidRPr="00C00BEC" w:rsidRDefault="003F20C1" w:rsidP="001E725C">
      <w:pPr>
        <w:tabs>
          <w:tab w:val="left" w:pos="975"/>
        </w:tabs>
        <w:rPr>
          <w:rFonts w:ascii="Arial" w:hAnsi="Arial" w:cs="Arial"/>
        </w:rPr>
      </w:pPr>
      <w:r w:rsidRPr="00C00BEC">
        <w:rPr>
          <w:rFonts w:ascii="Arial" w:hAnsi="Arial" w:cs="Arial"/>
        </w:rPr>
        <w:t xml:space="preserve">Der Antrag wurde auf dem Kreisparteitag am 24.09.2016 in </w:t>
      </w:r>
      <w:proofErr w:type="spellStart"/>
      <w:r w:rsidRPr="00C00BEC">
        <w:rPr>
          <w:rFonts w:ascii="Arial" w:hAnsi="Arial" w:cs="Arial"/>
        </w:rPr>
        <w:t>Ötlingen</w:t>
      </w:r>
      <w:proofErr w:type="spellEnd"/>
      <w:r w:rsidRPr="00C00BEC">
        <w:rPr>
          <w:rFonts w:ascii="Arial" w:hAnsi="Arial" w:cs="Arial"/>
        </w:rPr>
        <w:t xml:space="preserve"> beschlossen</w:t>
      </w:r>
    </w:p>
    <w:p w14:paraId="75C89F89" w14:textId="77777777" w:rsidR="003F20C1" w:rsidRDefault="003F20C1" w:rsidP="001E725C">
      <w:pPr>
        <w:rPr>
          <w:rFonts w:ascii="Arial" w:hAnsi="Arial" w:cs="Arial"/>
        </w:rPr>
      </w:pPr>
    </w:p>
    <w:p w14:paraId="2FF210EE" w14:textId="77777777" w:rsidR="009B478F" w:rsidRDefault="009B478F" w:rsidP="001E725C">
      <w:pPr>
        <w:rPr>
          <w:rFonts w:ascii="Arial" w:hAnsi="Arial" w:cs="Arial"/>
        </w:rPr>
      </w:pPr>
    </w:p>
    <w:sectPr w:rsidR="009B478F"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C27C" w14:textId="77777777" w:rsidR="0066016B" w:rsidRDefault="0066016B" w:rsidP="005E7442">
      <w:pPr>
        <w:spacing w:after="0" w:line="240" w:lineRule="auto"/>
      </w:pPr>
      <w:r>
        <w:separator/>
      </w:r>
    </w:p>
  </w:endnote>
  <w:endnote w:type="continuationSeparator" w:id="0">
    <w:p w14:paraId="30F7BFFF" w14:textId="77777777" w:rsidR="0066016B" w:rsidRDefault="0066016B"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B0C4" w14:textId="77777777" w:rsidR="0066016B" w:rsidRDefault="0066016B" w:rsidP="005E7442">
      <w:pPr>
        <w:spacing w:after="0" w:line="240" w:lineRule="auto"/>
      </w:pPr>
      <w:r>
        <w:separator/>
      </w:r>
    </w:p>
  </w:footnote>
  <w:footnote w:type="continuationSeparator" w:id="0">
    <w:p w14:paraId="00E004A0" w14:textId="77777777" w:rsidR="0066016B" w:rsidRDefault="0066016B"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955B9"/>
    <w:multiLevelType w:val="hybridMultilevel"/>
    <w:tmpl w:val="10667E5A"/>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A33093"/>
    <w:multiLevelType w:val="hybridMultilevel"/>
    <w:tmpl w:val="611AB13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FB36D7"/>
    <w:multiLevelType w:val="hybridMultilevel"/>
    <w:tmpl w:val="745A079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3B2F11"/>
    <w:multiLevelType w:val="hybridMultilevel"/>
    <w:tmpl w:val="D7821CA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CE7A0A"/>
    <w:multiLevelType w:val="hybridMultilevel"/>
    <w:tmpl w:val="39F6DEA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A22DB"/>
    <w:multiLevelType w:val="hybridMultilevel"/>
    <w:tmpl w:val="A270413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9277360"/>
    <w:multiLevelType w:val="hybridMultilevel"/>
    <w:tmpl w:val="D68EA29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44BA5"/>
    <w:multiLevelType w:val="hybridMultilevel"/>
    <w:tmpl w:val="7A8261C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442646"/>
    <w:multiLevelType w:val="hybridMultilevel"/>
    <w:tmpl w:val="2A5A0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390249"/>
    <w:multiLevelType w:val="hybridMultilevel"/>
    <w:tmpl w:val="C35E640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C34201"/>
    <w:multiLevelType w:val="hybridMultilevel"/>
    <w:tmpl w:val="8D440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4"/>
  </w:num>
  <w:num w:numId="4">
    <w:abstractNumId w:val="35"/>
  </w:num>
  <w:num w:numId="5">
    <w:abstractNumId w:val="2"/>
  </w:num>
  <w:num w:numId="6">
    <w:abstractNumId w:val="14"/>
  </w:num>
  <w:num w:numId="7">
    <w:abstractNumId w:val="12"/>
  </w:num>
  <w:num w:numId="8">
    <w:abstractNumId w:val="3"/>
  </w:num>
  <w:num w:numId="9">
    <w:abstractNumId w:val="23"/>
  </w:num>
  <w:num w:numId="10">
    <w:abstractNumId w:val="15"/>
  </w:num>
  <w:num w:numId="11">
    <w:abstractNumId w:val="0"/>
  </w:num>
  <w:num w:numId="12">
    <w:abstractNumId w:val="27"/>
  </w:num>
  <w:num w:numId="13">
    <w:abstractNumId w:val="26"/>
  </w:num>
  <w:num w:numId="14">
    <w:abstractNumId w:val="30"/>
  </w:num>
  <w:num w:numId="15">
    <w:abstractNumId w:val="29"/>
  </w:num>
  <w:num w:numId="16">
    <w:abstractNumId w:val="32"/>
  </w:num>
  <w:num w:numId="17">
    <w:abstractNumId w:val="20"/>
  </w:num>
  <w:num w:numId="18">
    <w:abstractNumId w:val="24"/>
  </w:num>
  <w:num w:numId="19">
    <w:abstractNumId w:val="34"/>
  </w:num>
  <w:num w:numId="20">
    <w:abstractNumId w:val="16"/>
  </w:num>
  <w:num w:numId="21">
    <w:abstractNumId w:val="1"/>
  </w:num>
  <w:num w:numId="22">
    <w:abstractNumId w:val="38"/>
  </w:num>
  <w:num w:numId="23">
    <w:abstractNumId w:val="37"/>
  </w:num>
  <w:num w:numId="24">
    <w:abstractNumId w:val="4"/>
  </w:num>
  <w:num w:numId="25">
    <w:abstractNumId w:val="7"/>
  </w:num>
  <w:num w:numId="26">
    <w:abstractNumId w:val="21"/>
  </w:num>
  <w:num w:numId="27">
    <w:abstractNumId w:val="9"/>
  </w:num>
  <w:num w:numId="28">
    <w:abstractNumId w:val="8"/>
  </w:num>
  <w:num w:numId="29">
    <w:abstractNumId w:val="22"/>
  </w:num>
  <w:num w:numId="30">
    <w:abstractNumId w:val="13"/>
  </w:num>
  <w:num w:numId="31">
    <w:abstractNumId w:val="5"/>
  </w:num>
  <w:num w:numId="32">
    <w:abstractNumId w:val="17"/>
  </w:num>
  <w:num w:numId="33">
    <w:abstractNumId w:val="18"/>
  </w:num>
  <w:num w:numId="34">
    <w:abstractNumId w:val="31"/>
  </w:num>
  <w:num w:numId="35">
    <w:abstractNumId w:val="36"/>
  </w:num>
  <w:num w:numId="36">
    <w:abstractNumId w:val="25"/>
  </w:num>
  <w:num w:numId="37">
    <w:abstractNumId w:val="28"/>
  </w:num>
  <w:num w:numId="38">
    <w:abstractNumId w:val="19"/>
  </w:num>
  <w:num w:numId="39">
    <w:abstractNumId w:val="10"/>
  </w:num>
  <w:num w:numId="40">
    <w:abstractNumId w:val="11"/>
  </w:num>
  <w:num w:numId="41">
    <w:abstractNumId w:val="3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25C"/>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431B"/>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0C1"/>
    <w:rsid w:val="003F2AEC"/>
    <w:rsid w:val="003F3935"/>
    <w:rsid w:val="003F3CB5"/>
    <w:rsid w:val="003F4311"/>
    <w:rsid w:val="003F4DA8"/>
    <w:rsid w:val="003F69FC"/>
    <w:rsid w:val="003F6A55"/>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190C"/>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016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DE2"/>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0B4F"/>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3874"/>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2D7"/>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78F"/>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2AB3"/>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069C6"/>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4DDD"/>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5968"/>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08CC"/>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1759A"/>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516"/>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05"/>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0818E43A-09B8-4793-AE73-40FB10B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278">
      <w:bodyDiv w:val="1"/>
      <w:marLeft w:val="0"/>
      <w:marRight w:val="0"/>
      <w:marTop w:val="0"/>
      <w:marBottom w:val="0"/>
      <w:divBdr>
        <w:top w:val="none" w:sz="0" w:space="0" w:color="auto"/>
        <w:left w:val="none" w:sz="0" w:space="0" w:color="auto"/>
        <w:bottom w:val="none" w:sz="0" w:space="0" w:color="auto"/>
        <w:right w:val="none" w:sz="0" w:space="0" w:color="auto"/>
      </w:divBdr>
    </w:div>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624700203">
      <w:bodyDiv w:val="1"/>
      <w:marLeft w:val="0"/>
      <w:marRight w:val="0"/>
      <w:marTop w:val="0"/>
      <w:marBottom w:val="0"/>
      <w:divBdr>
        <w:top w:val="none" w:sz="0" w:space="0" w:color="auto"/>
        <w:left w:val="none" w:sz="0" w:space="0" w:color="auto"/>
        <w:bottom w:val="none" w:sz="0" w:space="0" w:color="auto"/>
        <w:right w:val="none" w:sz="0" w:space="0" w:color="auto"/>
      </w:divBdr>
      <w:divsChild>
        <w:div w:id="485128729">
          <w:marLeft w:val="0"/>
          <w:marRight w:val="0"/>
          <w:marTop w:val="0"/>
          <w:marBottom w:val="0"/>
          <w:divBdr>
            <w:top w:val="none" w:sz="0" w:space="0" w:color="auto"/>
            <w:left w:val="none" w:sz="0" w:space="0" w:color="auto"/>
            <w:bottom w:val="none" w:sz="0" w:space="0" w:color="auto"/>
            <w:right w:val="none" w:sz="0" w:space="0" w:color="auto"/>
          </w:divBdr>
        </w:div>
        <w:div w:id="1248079915">
          <w:marLeft w:val="0"/>
          <w:marRight w:val="0"/>
          <w:marTop w:val="0"/>
          <w:marBottom w:val="0"/>
          <w:divBdr>
            <w:top w:val="none" w:sz="0" w:space="0" w:color="auto"/>
            <w:left w:val="none" w:sz="0" w:space="0" w:color="auto"/>
            <w:bottom w:val="none" w:sz="0" w:space="0" w:color="auto"/>
            <w:right w:val="none" w:sz="0" w:space="0" w:color="auto"/>
          </w:divBdr>
        </w:div>
        <w:div w:id="1906990381">
          <w:marLeft w:val="0"/>
          <w:marRight w:val="0"/>
          <w:marTop w:val="0"/>
          <w:marBottom w:val="0"/>
          <w:divBdr>
            <w:top w:val="none" w:sz="0" w:space="0" w:color="auto"/>
            <w:left w:val="none" w:sz="0" w:space="0" w:color="auto"/>
            <w:bottom w:val="none" w:sz="0" w:space="0" w:color="auto"/>
            <w:right w:val="none" w:sz="0" w:space="0" w:color="auto"/>
          </w:divBdr>
        </w:div>
        <w:div w:id="1009330627">
          <w:marLeft w:val="0"/>
          <w:marRight w:val="0"/>
          <w:marTop w:val="0"/>
          <w:marBottom w:val="0"/>
          <w:divBdr>
            <w:top w:val="none" w:sz="0" w:space="0" w:color="auto"/>
            <w:left w:val="none" w:sz="0" w:space="0" w:color="auto"/>
            <w:bottom w:val="none" w:sz="0" w:space="0" w:color="auto"/>
            <w:right w:val="none" w:sz="0" w:space="0" w:color="auto"/>
          </w:divBdr>
        </w:div>
        <w:div w:id="846553325">
          <w:marLeft w:val="0"/>
          <w:marRight w:val="0"/>
          <w:marTop w:val="0"/>
          <w:marBottom w:val="0"/>
          <w:divBdr>
            <w:top w:val="none" w:sz="0" w:space="0" w:color="auto"/>
            <w:left w:val="none" w:sz="0" w:space="0" w:color="auto"/>
            <w:bottom w:val="none" w:sz="0" w:space="0" w:color="auto"/>
            <w:right w:val="none" w:sz="0" w:space="0" w:color="auto"/>
          </w:divBdr>
        </w:div>
        <w:div w:id="439766351">
          <w:marLeft w:val="0"/>
          <w:marRight w:val="0"/>
          <w:marTop w:val="0"/>
          <w:marBottom w:val="0"/>
          <w:divBdr>
            <w:top w:val="none" w:sz="0" w:space="0" w:color="auto"/>
            <w:left w:val="none" w:sz="0" w:space="0" w:color="auto"/>
            <w:bottom w:val="none" w:sz="0" w:space="0" w:color="auto"/>
            <w:right w:val="none" w:sz="0" w:space="0" w:color="auto"/>
          </w:divBdr>
        </w:div>
        <w:div w:id="1848061797">
          <w:marLeft w:val="0"/>
          <w:marRight w:val="0"/>
          <w:marTop w:val="0"/>
          <w:marBottom w:val="0"/>
          <w:divBdr>
            <w:top w:val="none" w:sz="0" w:space="0" w:color="auto"/>
            <w:left w:val="none" w:sz="0" w:space="0" w:color="auto"/>
            <w:bottom w:val="none" w:sz="0" w:space="0" w:color="auto"/>
            <w:right w:val="none" w:sz="0" w:space="0" w:color="auto"/>
          </w:divBdr>
        </w:div>
        <w:div w:id="1266882344">
          <w:marLeft w:val="0"/>
          <w:marRight w:val="0"/>
          <w:marTop w:val="0"/>
          <w:marBottom w:val="0"/>
          <w:divBdr>
            <w:top w:val="none" w:sz="0" w:space="0" w:color="auto"/>
            <w:left w:val="none" w:sz="0" w:space="0" w:color="auto"/>
            <w:bottom w:val="none" w:sz="0" w:space="0" w:color="auto"/>
            <w:right w:val="none" w:sz="0" w:space="0" w:color="auto"/>
          </w:divBdr>
        </w:div>
        <w:div w:id="1944654830">
          <w:marLeft w:val="0"/>
          <w:marRight w:val="0"/>
          <w:marTop w:val="0"/>
          <w:marBottom w:val="0"/>
          <w:divBdr>
            <w:top w:val="none" w:sz="0" w:space="0" w:color="auto"/>
            <w:left w:val="none" w:sz="0" w:space="0" w:color="auto"/>
            <w:bottom w:val="none" w:sz="0" w:space="0" w:color="auto"/>
            <w:right w:val="none" w:sz="0" w:space="0" w:color="auto"/>
          </w:divBdr>
        </w:div>
        <w:div w:id="443773209">
          <w:marLeft w:val="0"/>
          <w:marRight w:val="0"/>
          <w:marTop w:val="0"/>
          <w:marBottom w:val="0"/>
          <w:divBdr>
            <w:top w:val="none" w:sz="0" w:space="0" w:color="auto"/>
            <w:left w:val="none" w:sz="0" w:space="0" w:color="auto"/>
            <w:bottom w:val="none" w:sz="0" w:space="0" w:color="auto"/>
            <w:right w:val="none" w:sz="0" w:space="0" w:color="auto"/>
          </w:divBdr>
        </w:div>
        <w:div w:id="99838983">
          <w:marLeft w:val="0"/>
          <w:marRight w:val="0"/>
          <w:marTop w:val="0"/>
          <w:marBottom w:val="0"/>
          <w:divBdr>
            <w:top w:val="none" w:sz="0" w:space="0" w:color="auto"/>
            <w:left w:val="none" w:sz="0" w:space="0" w:color="auto"/>
            <w:bottom w:val="none" w:sz="0" w:space="0" w:color="auto"/>
            <w:right w:val="none" w:sz="0" w:space="0" w:color="auto"/>
          </w:divBdr>
        </w:div>
        <w:div w:id="1677221959">
          <w:marLeft w:val="0"/>
          <w:marRight w:val="0"/>
          <w:marTop w:val="0"/>
          <w:marBottom w:val="0"/>
          <w:divBdr>
            <w:top w:val="none" w:sz="0" w:space="0" w:color="auto"/>
            <w:left w:val="none" w:sz="0" w:space="0" w:color="auto"/>
            <w:bottom w:val="none" w:sz="0" w:space="0" w:color="auto"/>
            <w:right w:val="none" w:sz="0" w:space="0" w:color="auto"/>
          </w:divBdr>
        </w:div>
      </w:divsChild>
    </w:div>
    <w:div w:id="694042421">
      <w:bodyDiv w:val="1"/>
      <w:marLeft w:val="0"/>
      <w:marRight w:val="0"/>
      <w:marTop w:val="0"/>
      <w:marBottom w:val="0"/>
      <w:divBdr>
        <w:top w:val="none" w:sz="0" w:space="0" w:color="auto"/>
        <w:left w:val="none" w:sz="0" w:space="0" w:color="auto"/>
        <w:bottom w:val="none" w:sz="0" w:space="0" w:color="auto"/>
        <w:right w:val="none" w:sz="0" w:space="0" w:color="auto"/>
      </w:divBdr>
      <w:divsChild>
        <w:div w:id="1022783714">
          <w:marLeft w:val="0"/>
          <w:marRight w:val="0"/>
          <w:marTop w:val="0"/>
          <w:marBottom w:val="0"/>
          <w:divBdr>
            <w:top w:val="none" w:sz="0" w:space="0" w:color="auto"/>
            <w:left w:val="none" w:sz="0" w:space="0" w:color="auto"/>
            <w:bottom w:val="none" w:sz="0" w:space="0" w:color="auto"/>
            <w:right w:val="none" w:sz="0" w:space="0" w:color="auto"/>
          </w:divBdr>
        </w:div>
        <w:div w:id="674504418">
          <w:marLeft w:val="0"/>
          <w:marRight w:val="0"/>
          <w:marTop w:val="0"/>
          <w:marBottom w:val="0"/>
          <w:divBdr>
            <w:top w:val="none" w:sz="0" w:space="0" w:color="auto"/>
            <w:left w:val="none" w:sz="0" w:space="0" w:color="auto"/>
            <w:bottom w:val="none" w:sz="0" w:space="0" w:color="auto"/>
            <w:right w:val="none" w:sz="0" w:space="0" w:color="auto"/>
          </w:divBdr>
        </w:div>
        <w:div w:id="1324823038">
          <w:marLeft w:val="0"/>
          <w:marRight w:val="0"/>
          <w:marTop w:val="0"/>
          <w:marBottom w:val="0"/>
          <w:divBdr>
            <w:top w:val="none" w:sz="0" w:space="0" w:color="auto"/>
            <w:left w:val="none" w:sz="0" w:space="0" w:color="auto"/>
            <w:bottom w:val="none" w:sz="0" w:space="0" w:color="auto"/>
            <w:right w:val="none" w:sz="0" w:space="0" w:color="auto"/>
          </w:divBdr>
        </w:div>
        <w:div w:id="37558445">
          <w:marLeft w:val="0"/>
          <w:marRight w:val="0"/>
          <w:marTop w:val="0"/>
          <w:marBottom w:val="0"/>
          <w:divBdr>
            <w:top w:val="none" w:sz="0" w:space="0" w:color="auto"/>
            <w:left w:val="none" w:sz="0" w:space="0" w:color="auto"/>
            <w:bottom w:val="none" w:sz="0" w:space="0" w:color="auto"/>
            <w:right w:val="none" w:sz="0" w:space="0" w:color="auto"/>
          </w:divBdr>
        </w:div>
        <w:div w:id="586887125">
          <w:marLeft w:val="0"/>
          <w:marRight w:val="0"/>
          <w:marTop w:val="0"/>
          <w:marBottom w:val="0"/>
          <w:divBdr>
            <w:top w:val="none" w:sz="0" w:space="0" w:color="auto"/>
            <w:left w:val="none" w:sz="0" w:space="0" w:color="auto"/>
            <w:bottom w:val="none" w:sz="0" w:space="0" w:color="auto"/>
            <w:right w:val="none" w:sz="0" w:space="0" w:color="auto"/>
          </w:divBdr>
        </w:div>
        <w:div w:id="612900537">
          <w:marLeft w:val="0"/>
          <w:marRight w:val="0"/>
          <w:marTop w:val="0"/>
          <w:marBottom w:val="0"/>
          <w:divBdr>
            <w:top w:val="none" w:sz="0" w:space="0" w:color="auto"/>
            <w:left w:val="none" w:sz="0" w:space="0" w:color="auto"/>
            <w:bottom w:val="none" w:sz="0" w:space="0" w:color="auto"/>
            <w:right w:val="none" w:sz="0" w:space="0" w:color="auto"/>
          </w:divBdr>
        </w:div>
        <w:div w:id="940263704">
          <w:marLeft w:val="0"/>
          <w:marRight w:val="0"/>
          <w:marTop w:val="0"/>
          <w:marBottom w:val="0"/>
          <w:divBdr>
            <w:top w:val="none" w:sz="0" w:space="0" w:color="auto"/>
            <w:left w:val="none" w:sz="0" w:space="0" w:color="auto"/>
            <w:bottom w:val="none" w:sz="0" w:space="0" w:color="auto"/>
            <w:right w:val="none" w:sz="0" w:space="0" w:color="auto"/>
          </w:divBdr>
        </w:div>
        <w:div w:id="1010646678">
          <w:marLeft w:val="0"/>
          <w:marRight w:val="0"/>
          <w:marTop w:val="0"/>
          <w:marBottom w:val="0"/>
          <w:divBdr>
            <w:top w:val="none" w:sz="0" w:space="0" w:color="auto"/>
            <w:left w:val="none" w:sz="0" w:space="0" w:color="auto"/>
            <w:bottom w:val="none" w:sz="0" w:space="0" w:color="auto"/>
            <w:right w:val="none" w:sz="0" w:space="0" w:color="auto"/>
          </w:divBdr>
        </w:div>
        <w:div w:id="698629225">
          <w:marLeft w:val="0"/>
          <w:marRight w:val="0"/>
          <w:marTop w:val="0"/>
          <w:marBottom w:val="0"/>
          <w:divBdr>
            <w:top w:val="none" w:sz="0" w:space="0" w:color="auto"/>
            <w:left w:val="none" w:sz="0" w:space="0" w:color="auto"/>
            <w:bottom w:val="none" w:sz="0" w:space="0" w:color="auto"/>
            <w:right w:val="none" w:sz="0" w:space="0" w:color="auto"/>
          </w:divBdr>
        </w:div>
      </w:divsChild>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51589149">
      <w:bodyDiv w:val="1"/>
      <w:marLeft w:val="0"/>
      <w:marRight w:val="0"/>
      <w:marTop w:val="0"/>
      <w:marBottom w:val="0"/>
      <w:divBdr>
        <w:top w:val="none" w:sz="0" w:space="0" w:color="auto"/>
        <w:left w:val="none" w:sz="0" w:space="0" w:color="auto"/>
        <w:bottom w:val="none" w:sz="0" w:space="0" w:color="auto"/>
        <w:right w:val="none" w:sz="0" w:space="0" w:color="auto"/>
      </w:divBdr>
      <w:divsChild>
        <w:div w:id="1119030122">
          <w:marLeft w:val="0"/>
          <w:marRight w:val="0"/>
          <w:marTop w:val="0"/>
          <w:marBottom w:val="0"/>
          <w:divBdr>
            <w:top w:val="none" w:sz="0" w:space="0" w:color="auto"/>
            <w:left w:val="none" w:sz="0" w:space="0" w:color="auto"/>
            <w:bottom w:val="none" w:sz="0" w:space="0" w:color="auto"/>
            <w:right w:val="none" w:sz="0" w:space="0" w:color="auto"/>
          </w:divBdr>
        </w:div>
        <w:div w:id="1772046343">
          <w:marLeft w:val="0"/>
          <w:marRight w:val="0"/>
          <w:marTop w:val="0"/>
          <w:marBottom w:val="0"/>
          <w:divBdr>
            <w:top w:val="none" w:sz="0" w:space="0" w:color="auto"/>
            <w:left w:val="none" w:sz="0" w:space="0" w:color="auto"/>
            <w:bottom w:val="none" w:sz="0" w:space="0" w:color="auto"/>
            <w:right w:val="none" w:sz="0" w:space="0" w:color="auto"/>
          </w:divBdr>
        </w:div>
        <w:div w:id="1183469508">
          <w:marLeft w:val="0"/>
          <w:marRight w:val="0"/>
          <w:marTop w:val="0"/>
          <w:marBottom w:val="0"/>
          <w:divBdr>
            <w:top w:val="none" w:sz="0" w:space="0" w:color="auto"/>
            <w:left w:val="none" w:sz="0" w:space="0" w:color="auto"/>
            <w:bottom w:val="none" w:sz="0" w:space="0" w:color="auto"/>
            <w:right w:val="none" w:sz="0" w:space="0" w:color="auto"/>
          </w:divBdr>
        </w:div>
        <w:div w:id="752164102">
          <w:marLeft w:val="0"/>
          <w:marRight w:val="0"/>
          <w:marTop w:val="0"/>
          <w:marBottom w:val="0"/>
          <w:divBdr>
            <w:top w:val="none" w:sz="0" w:space="0" w:color="auto"/>
            <w:left w:val="none" w:sz="0" w:space="0" w:color="auto"/>
            <w:bottom w:val="none" w:sz="0" w:space="0" w:color="auto"/>
            <w:right w:val="none" w:sz="0" w:space="0" w:color="auto"/>
          </w:divBdr>
        </w:div>
        <w:div w:id="299648869">
          <w:marLeft w:val="0"/>
          <w:marRight w:val="0"/>
          <w:marTop w:val="0"/>
          <w:marBottom w:val="0"/>
          <w:divBdr>
            <w:top w:val="none" w:sz="0" w:space="0" w:color="auto"/>
            <w:left w:val="none" w:sz="0" w:space="0" w:color="auto"/>
            <w:bottom w:val="none" w:sz="0" w:space="0" w:color="auto"/>
            <w:right w:val="none" w:sz="0" w:space="0" w:color="auto"/>
          </w:divBdr>
        </w:div>
        <w:div w:id="491022794">
          <w:marLeft w:val="0"/>
          <w:marRight w:val="0"/>
          <w:marTop w:val="0"/>
          <w:marBottom w:val="0"/>
          <w:divBdr>
            <w:top w:val="none" w:sz="0" w:space="0" w:color="auto"/>
            <w:left w:val="none" w:sz="0" w:space="0" w:color="auto"/>
            <w:bottom w:val="none" w:sz="0" w:space="0" w:color="auto"/>
            <w:right w:val="none" w:sz="0" w:space="0" w:color="auto"/>
          </w:divBdr>
        </w:div>
        <w:div w:id="195435239">
          <w:marLeft w:val="0"/>
          <w:marRight w:val="0"/>
          <w:marTop w:val="0"/>
          <w:marBottom w:val="0"/>
          <w:divBdr>
            <w:top w:val="none" w:sz="0" w:space="0" w:color="auto"/>
            <w:left w:val="none" w:sz="0" w:space="0" w:color="auto"/>
            <w:bottom w:val="none" w:sz="0" w:space="0" w:color="auto"/>
            <w:right w:val="none" w:sz="0" w:space="0" w:color="auto"/>
          </w:divBdr>
        </w:div>
        <w:div w:id="537474401">
          <w:marLeft w:val="0"/>
          <w:marRight w:val="0"/>
          <w:marTop w:val="0"/>
          <w:marBottom w:val="0"/>
          <w:divBdr>
            <w:top w:val="none" w:sz="0" w:space="0" w:color="auto"/>
            <w:left w:val="none" w:sz="0" w:space="0" w:color="auto"/>
            <w:bottom w:val="none" w:sz="0" w:space="0" w:color="auto"/>
            <w:right w:val="none" w:sz="0" w:space="0" w:color="auto"/>
          </w:divBdr>
        </w:div>
        <w:div w:id="1417089504">
          <w:marLeft w:val="0"/>
          <w:marRight w:val="0"/>
          <w:marTop w:val="0"/>
          <w:marBottom w:val="0"/>
          <w:divBdr>
            <w:top w:val="none" w:sz="0" w:space="0" w:color="auto"/>
            <w:left w:val="none" w:sz="0" w:space="0" w:color="auto"/>
            <w:bottom w:val="none" w:sz="0" w:space="0" w:color="auto"/>
            <w:right w:val="none" w:sz="0" w:space="0" w:color="auto"/>
          </w:divBdr>
        </w:div>
        <w:div w:id="1029377255">
          <w:marLeft w:val="0"/>
          <w:marRight w:val="0"/>
          <w:marTop w:val="0"/>
          <w:marBottom w:val="0"/>
          <w:divBdr>
            <w:top w:val="none" w:sz="0" w:space="0" w:color="auto"/>
            <w:left w:val="none" w:sz="0" w:space="0" w:color="auto"/>
            <w:bottom w:val="none" w:sz="0" w:space="0" w:color="auto"/>
            <w:right w:val="none" w:sz="0" w:space="0" w:color="auto"/>
          </w:divBdr>
        </w:div>
        <w:div w:id="216555667">
          <w:marLeft w:val="0"/>
          <w:marRight w:val="0"/>
          <w:marTop w:val="0"/>
          <w:marBottom w:val="0"/>
          <w:divBdr>
            <w:top w:val="none" w:sz="0" w:space="0" w:color="auto"/>
            <w:left w:val="none" w:sz="0" w:space="0" w:color="auto"/>
            <w:bottom w:val="none" w:sz="0" w:space="0" w:color="auto"/>
            <w:right w:val="none" w:sz="0" w:space="0" w:color="auto"/>
          </w:divBdr>
        </w:div>
        <w:div w:id="51855119">
          <w:marLeft w:val="0"/>
          <w:marRight w:val="0"/>
          <w:marTop w:val="0"/>
          <w:marBottom w:val="0"/>
          <w:divBdr>
            <w:top w:val="none" w:sz="0" w:space="0" w:color="auto"/>
            <w:left w:val="none" w:sz="0" w:space="0" w:color="auto"/>
            <w:bottom w:val="none" w:sz="0" w:space="0" w:color="auto"/>
            <w:right w:val="none" w:sz="0" w:space="0" w:color="auto"/>
          </w:divBdr>
        </w:div>
        <w:div w:id="1322345539">
          <w:marLeft w:val="0"/>
          <w:marRight w:val="0"/>
          <w:marTop w:val="0"/>
          <w:marBottom w:val="0"/>
          <w:divBdr>
            <w:top w:val="none" w:sz="0" w:space="0" w:color="auto"/>
            <w:left w:val="none" w:sz="0" w:space="0" w:color="auto"/>
            <w:bottom w:val="none" w:sz="0" w:space="0" w:color="auto"/>
            <w:right w:val="none" w:sz="0" w:space="0" w:color="auto"/>
          </w:divBdr>
        </w:div>
        <w:div w:id="2032025750">
          <w:marLeft w:val="0"/>
          <w:marRight w:val="0"/>
          <w:marTop w:val="0"/>
          <w:marBottom w:val="0"/>
          <w:divBdr>
            <w:top w:val="none" w:sz="0" w:space="0" w:color="auto"/>
            <w:left w:val="none" w:sz="0" w:space="0" w:color="auto"/>
            <w:bottom w:val="none" w:sz="0" w:space="0" w:color="auto"/>
            <w:right w:val="none" w:sz="0" w:space="0" w:color="auto"/>
          </w:divBdr>
        </w:div>
        <w:div w:id="1563373375">
          <w:marLeft w:val="0"/>
          <w:marRight w:val="0"/>
          <w:marTop w:val="0"/>
          <w:marBottom w:val="0"/>
          <w:divBdr>
            <w:top w:val="none" w:sz="0" w:space="0" w:color="auto"/>
            <w:left w:val="none" w:sz="0" w:space="0" w:color="auto"/>
            <w:bottom w:val="none" w:sz="0" w:space="0" w:color="auto"/>
            <w:right w:val="none" w:sz="0" w:space="0" w:color="auto"/>
          </w:divBdr>
        </w:div>
        <w:div w:id="152992759">
          <w:marLeft w:val="0"/>
          <w:marRight w:val="0"/>
          <w:marTop w:val="0"/>
          <w:marBottom w:val="0"/>
          <w:divBdr>
            <w:top w:val="none" w:sz="0" w:space="0" w:color="auto"/>
            <w:left w:val="none" w:sz="0" w:space="0" w:color="auto"/>
            <w:bottom w:val="none" w:sz="0" w:space="0" w:color="auto"/>
            <w:right w:val="none" w:sz="0" w:space="0" w:color="auto"/>
          </w:divBdr>
        </w:div>
        <w:div w:id="1444694855">
          <w:marLeft w:val="0"/>
          <w:marRight w:val="0"/>
          <w:marTop w:val="0"/>
          <w:marBottom w:val="0"/>
          <w:divBdr>
            <w:top w:val="none" w:sz="0" w:space="0" w:color="auto"/>
            <w:left w:val="none" w:sz="0" w:space="0" w:color="auto"/>
            <w:bottom w:val="none" w:sz="0" w:space="0" w:color="auto"/>
            <w:right w:val="none" w:sz="0" w:space="0" w:color="auto"/>
          </w:divBdr>
        </w:div>
        <w:div w:id="66341634">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312637436">
      <w:bodyDiv w:val="1"/>
      <w:marLeft w:val="0"/>
      <w:marRight w:val="0"/>
      <w:marTop w:val="0"/>
      <w:marBottom w:val="0"/>
      <w:divBdr>
        <w:top w:val="none" w:sz="0" w:space="0" w:color="auto"/>
        <w:left w:val="none" w:sz="0" w:space="0" w:color="auto"/>
        <w:bottom w:val="none" w:sz="0" w:space="0" w:color="auto"/>
        <w:right w:val="none" w:sz="0" w:space="0" w:color="auto"/>
      </w:divBdr>
      <w:divsChild>
        <w:div w:id="500705817">
          <w:marLeft w:val="0"/>
          <w:marRight w:val="0"/>
          <w:marTop w:val="0"/>
          <w:marBottom w:val="0"/>
          <w:divBdr>
            <w:top w:val="none" w:sz="0" w:space="0" w:color="auto"/>
            <w:left w:val="none" w:sz="0" w:space="0" w:color="auto"/>
            <w:bottom w:val="none" w:sz="0" w:space="0" w:color="auto"/>
            <w:right w:val="none" w:sz="0" w:space="0" w:color="auto"/>
          </w:divBdr>
        </w:div>
        <w:div w:id="384371436">
          <w:marLeft w:val="0"/>
          <w:marRight w:val="0"/>
          <w:marTop w:val="0"/>
          <w:marBottom w:val="0"/>
          <w:divBdr>
            <w:top w:val="none" w:sz="0" w:space="0" w:color="auto"/>
            <w:left w:val="none" w:sz="0" w:space="0" w:color="auto"/>
            <w:bottom w:val="none" w:sz="0" w:space="0" w:color="auto"/>
            <w:right w:val="none" w:sz="0" w:space="0" w:color="auto"/>
          </w:divBdr>
        </w:div>
        <w:div w:id="2077781280">
          <w:marLeft w:val="0"/>
          <w:marRight w:val="0"/>
          <w:marTop w:val="0"/>
          <w:marBottom w:val="0"/>
          <w:divBdr>
            <w:top w:val="none" w:sz="0" w:space="0" w:color="auto"/>
            <w:left w:val="none" w:sz="0" w:space="0" w:color="auto"/>
            <w:bottom w:val="none" w:sz="0" w:space="0" w:color="auto"/>
            <w:right w:val="none" w:sz="0" w:space="0" w:color="auto"/>
          </w:divBdr>
        </w:div>
        <w:div w:id="81531996">
          <w:marLeft w:val="0"/>
          <w:marRight w:val="0"/>
          <w:marTop w:val="0"/>
          <w:marBottom w:val="0"/>
          <w:divBdr>
            <w:top w:val="none" w:sz="0" w:space="0" w:color="auto"/>
            <w:left w:val="none" w:sz="0" w:space="0" w:color="auto"/>
            <w:bottom w:val="none" w:sz="0" w:space="0" w:color="auto"/>
            <w:right w:val="none" w:sz="0" w:space="0" w:color="auto"/>
          </w:divBdr>
        </w:div>
        <w:div w:id="270405443">
          <w:marLeft w:val="0"/>
          <w:marRight w:val="0"/>
          <w:marTop w:val="0"/>
          <w:marBottom w:val="0"/>
          <w:divBdr>
            <w:top w:val="none" w:sz="0" w:space="0" w:color="auto"/>
            <w:left w:val="none" w:sz="0" w:space="0" w:color="auto"/>
            <w:bottom w:val="none" w:sz="0" w:space="0" w:color="auto"/>
            <w:right w:val="none" w:sz="0" w:space="0" w:color="auto"/>
          </w:divBdr>
        </w:div>
        <w:div w:id="16591290">
          <w:marLeft w:val="0"/>
          <w:marRight w:val="0"/>
          <w:marTop w:val="0"/>
          <w:marBottom w:val="0"/>
          <w:divBdr>
            <w:top w:val="none" w:sz="0" w:space="0" w:color="auto"/>
            <w:left w:val="none" w:sz="0" w:space="0" w:color="auto"/>
            <w:bottom w:val="none" w:sz="0" w:space="0" w:color="auto"/>
            <w:right w:val="none" w:sz="0" w:space="0" w:color="auto"/>
          </w:divBdr>
        </w:div>
        <w:div w:id="1618175762">
          <w:marLeft w:val="0"/>
          <w:marRight w:val="0"/>
          <w:marTop w:val="0"/>
          <w:marBottom w:val="0"/>
          <w:divBdr>
            <w:top w:val="none" w:sz="0" w:space="0" w:color="auto"/>
            <w:left w:val="none" w:sz="0" w:space="0" w:color="auto"/>
            <w:bottom w:val="none" w:sz="0" w:space="0" w:color="auto"/>
            <w:right w:val="none" w:sz="0" w:space="0" w:color="auto"/>
          </w:divBdr>
        </w:div>
        <w:div w:id="918094896">
          <w:marLeft w:val="0"/>
          <w:marRight w:val="0"/>
          <w:marTop w:val="0"/>
          <w:marBottom w:val="0"/>
          <w:divBdr>
            <w:top w:val="none" w:sz="0" w:space="0" w:color="auto"/>
            <w:left w:val="none" w:sz="0" w:space="0" w:color="auto"/>
            <w:bottom w:val="none" w:sz="0" w:space="0" w:color="auto"/>
            <w:right w:val="none" w:sz="0" w:space="0" w:color="auto"/>
          </w:divBdr>
        </w:div>
        <w:div w:id="732433596">
          <w:marLeft w:val="0"/>
          <w:marRight w:val="0"/>
          <w:marTop w:val="0"/>
          <w:marBottom w:val="0"/>
          <w:divBdr>
            <w:top w:val="none" w:sz="0" w:space="0" w:color="auto"/>
            <w:left w:val="none" w:sz="0" w:space="0" w:color="auto"/>
            <w:bottom w:val="none" w:sz="0" w:space="0" w:color="auto"/>
            <w:right w:val="none" w:sz="0" w:space="0" w:color="auto"/>
          </w:divBdr>
        </w:div>
        <w:div w:id="610287583">
          <w:marLeft w:val="0"/>
          <w:marRight w:val="0"/>
          <w:marTop w:val="0"/>
          <w:marBottom w:val="0"/>
          <w:divBdr>
            <w:top w:val="none" w:sz="0" w:space="0" w:color="auto"/>
            <w:left w:val="none" w:sz="0" w:space="0" w:color="auto"/>
            <w:bottom w:val="none" w:sz="0" w:space="0" w:color="auto"/>
            <w:right w:val="none" w:sz="0" w:space="0" w:color="auto"/>
          </w:divBdr>
        </w:div>
        <w:div w:id="1591426894">
          <w:marLeft w:val="0"/>
          <w:marRight w:val="0"/>
          <w:marTop w:val="0"/>
          <w:marBottom w:val="0"/>
          <w:divBdr>
            <w:top w:val="none" w:sz="0" w:space="0" w:color="auto"/>
            <w:left w:val="none" w:sz="0" w:space="0" w:color="auto"/>
            <w:bottom w:val="none" w:sz="0" w:space="0" w:color="auto"/>
            <w:right w:val="none" w:sz="0" w:space="0" w:color="auto"/>
          </w:divBdr>
        </w:div>
        <w:div w:id="458260321">
          <w:marLeft w:val="0"/>
          <w:marRight w:val="0"/>
          <w:marTop w:val="0"/>
          <w:marBottom w:val="0"/>
          <w:divBdr>
            <w:top w:val="none" w:sz="0" w:space="0" w:color="auto"/>
            <w:left w:val="none" w:sz="0" w:space="0" w:color="auto"/>
            <w:bottom w:val="none" w:sz="0" w:space="0" w:color="auto"/>
            <w:right w:val="none" w:sz="0" w:space="0" w:color="auto"/>
          </w:divBdr>
        </w:div>
      </w:divsChild>
    </w:div>
    <w:div w:id="1376350809">
      <w:bodyDiv w:val="1"/>
      <w:marLeft w:val="0"/>
      <w:marRight w:val="0"/>
      <w:marTop w:val="0"/>
      <w:marBottom w:val="0"/>
      <w:divBdr>
        <w:top w:val="none" w:sz="0" w:space="0" w:color="auto"/>
        <w:left w:val="none" w:sz="0" w:space="0" w:color="auto"/>
        <w:bottom w:val="none" w:sz="0" w:space="0" w:color="auto"/>
        <w:right w:val="none" w:sz="0" w:space="0" w:color="auto"/>
      </w:divBdr>
      <w:divsChild>
        <w:div w:id="1879509340">
          <w:marLeft w:val="0"/>
          <w:marRight w:val="0"/>
          <w:marTop w:val="0"/>
          <w:marBottom w:val="0"/>
          <w:divBdr>
            <w:top w:val="none" w:sz="0" w:space="0" w:color="auto"/>
            <w:left w:val="none" w:sz="0" w:space="0" w:color="auto"/>
            <w:bottom w:val="none" w:sz="0" w:space="0" w:color="auto"/>
            <w:right w:val="none" w:sz="0" w:space="0" w:color="auto"/>
          </w:divBdr>
        </w:div>
        <w:div w:id="381565289">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015838031">
          <w:marLeft w:val="0"/>
          <w:marRight w:val="0"/>
          <w:marTop w:val="0"/>
          <w:marBottom w:val="0"/>
          <w:divBdr>
            <w:top w:val="none" w:sz="0" w:space="0" w:color="auto"/>
            <w:left w:val="none" w:sz="0" w:space="0" w:color="auto"/>
            <w:bottom w:val="none" w:sz="0" w:space="0" w:color="auto"/>
            <w:right w:val="none" w:sz="0" w:space="0" w:color="auto"/>
          </w:divBdr>
        </w:div>
        <w:div w:id="315188680">
          <w:marLeft w:val="0"/>
          <w:marRight w:val="0"/>
          <w:marTop w:val="0"/>
          <w:marBottom w:val="0"/>
          <w:divBdr>
            <w:top w:val="none" w:sz="0" w:space="0" w:color="auto"/>
            <w:left w:val="none" w:sz="0" w:space="0" w:color="auto"/>
            <w:bottom w:val="none" w:sz="0" w:space="0" w:color="auto"/>
            <w:right w:val="none" w:sz="0" w:space="0" w:color="auto"/>
          </w:divBdr>
        </w:div>
        <w:div w:id="1045568797">
          <w:marLeft w:val="0"/>
          <w:marRight w:val="0"/>
          <w:marTop w:val="0"/>
          <w:marBottom w:val="0"/>
          <w:divBdr>
            <w:top w:val="none" w:sz="0" w:space="0" w:color="auto"/>
            <w:left w:val="none" w:sz="0" w:space="0" w:color="auto"/>
            <w:bottom w:val="none" w:sz="0" w:space="0" w:color="auto"/>
            <w:right w:val="none" w:sz="0" w:space="0" w:color="auto"/>
          </w:divBdr>
        </w:div>
        <w:div w:id="1915385730">
          <w:marLeft w:val="0"/>
          <w:marRight w:val="0"/>
          <w:marTop w:val="0"/>
          <w:marBottom w:val="0"/>
          <w:divBdr>
            <w:top w:val="none" w:sz="0" w:space="0" w:color="auto"/>
            <w:left w:val="none" w:sz="0" w:space="0" w:color="auto"/>
            <w:bottom w:val="none" w:sz="0" w:space="0" w:color="auto"/>
            <w:right w:val="none" w:sz="0" w:space="0" w:color="auto"/>
          </w:divBdr>
        </w:div>
        <w:div w:id="1961842841">
          <w:marLeft w:val="0"/>
          <w:marRight w:val="0"/>
          <w:marTop w:val="0"/>
          <w:marBottom w:val="0"/>
          <w:divBdr>
            <w:top w:val="none" w:sz="0" w:space="0" w:color="auto"/>
            <w:left w:val="none" w:sz="0" w:space="0" w:color="auto"/>
            <w:bottom w:val="none" w:sz="0" w:space="0" w:color="auto"/>
            <w:right w:val="none" w:sz="0" w:space="0" w:color="auto"/>
          </w:divBdr>
        </w:div>
        <w:div w:id="143205341">
          <w:marLeft w:val="0"/>
          <w:marRight w:val="0"/>
          <w:marTop w:val="0"/>
          <w:marBottom w:val="0"/>
          <w:divBdr>
            <w:top w:val="none" w:sz="0" w:space="0" w:color="auto"/>
            <w:left w:val="none" w:sz="0" w:space="0" w:color="auto"/>
            <w:bottom w:val="none" w:sz="0" w:space="0" w:color="auto"/>
            <w:right w:val="none" w:sz="0" w:space="0" w:color="auto"/>
          </w:divBdr>
        </w:div>
        <w:div w:id="1593513069">
          <w:marLeft w:val="0"/>
          <w:marRight w:val="0"/>
          <w:marTop w:val="0"/>
          <w:marBottom w:val="0"/>
          <w:divBdr>
            <w:top w:val="none" w:sz="0" w:space="0" w:color="auto"/>
            <w:left w:val="none" w:sz="0" w:space="0" w:color="auto"/>
            <w:bottom w:val="none" w:sz="0" w:space="0" w:color="auto"/>
            <w:right w:val="none" w:sz="0" w:space="0" w:color="auto"/>
          </w:divBdr>
        </w:div>
        <w:div w:id="414783048">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 w:id="2115705663">
      <w:bodyDiv w:val="1"/>
      <w:marLeft w:val="0"/>
      <w:marRight w:val="0"/>
      <w:marTop w:val="0"/>
      <w:marBottom w:val="0"/>
      <w:divBdr>
        <w:top w:val="none" w:sz="0" w:space="0" w:color="auto"/>
        <w:left w:val="none" w:sz="0" w:space="0" w:color="auto"/>
        <w:bottom w:val="none" w:sz="0" w:space="0" w:color="auto"/>
        <w:right w:val="none" w:sz="0" w:space="0" w:color="auto"/>
      </w:divBdr>
      <w:divsChild>
        <w:div w:id="1084884696">
          <w:marLeft w:val="0"/>
          <w:marRight w:val="0"/>
          <w:marTop w:val="0"/>
          <w:marBottom w:val="0"/>
          <w:divBdr>
            <w:top w:val="none" w:sz="0" w:space="0" w:color="auto"/>
            <w:left w:val="none" w:sz="0" w:space="0" w:color="auto"/>
            <w:bottom w:val="none" w:sz="0" w:space="0" w:color="auto"/>
            <w:right w:val="none" w:sz="0" w:space="0" w:color="auto"/>
          </w:divBdr>
        </w:div>
        <w:div w:id="259486230">
          <w:marLeft w:val="0"/>
          <w:marRight w:val="0"/>
          <w:marTop w:val="0"/>
          <w:marBottom w:val="0"/>
          <w:divBdr>
            <w:top w:val="none" w:sz="0" w:space="0" w:color="auto"/>
            <w:left w:val="none" w:sz="0" w:space="0" w:color="auto"/>
            <w:bottom w:val="none" w:sz="0" w:space="0" w:color="auto"/>
            <w:right w:val="none" w:sz="0" w:space="0" w:color="auto"/>
          </w:divBdr>
        </w:div>
        <w:div w:id="1521122510">
          <w:marLeft w:val="0"/>
          <w:marRight w:val="0"/>
          <w:marTop w:val="0"/>
          <w:marBottom w:val="0"/>
          <w:divBdr>
            <w:top w:val="none" w:sz="0" w:space="0" w:color="auto"/>
            <w:left w:val="none" w:sz="0" w:space="0" w:color="auto"/>
            <w:bottom w:val="none" w:sz="0" w:space="0" w:color="auto"/>
            <w:right w:val="none" w:sz="0" w:space="0" w:color="auto"/>
          </w:divBdr>
        </w:div>
        <w:div w:id="376784226">
          <w:marLeft w:val="0"/>
          <w:marRight w:val="0"/>
          <w:marTop w:val="0"/>
          <w:marBottom w:val="0"/>
          <w:divBdr>
            <w:top w:val="none" w:sz="0" w:space="0" w:color="auto"/>
            <w:left w:val="none" w:sz="0" w:space="0" w:color="auto"/>
            <w:bottom w:val="none" w:sz="0" w:space="0" w:color="auto"/>
            <w:right w:val="none" w:sz="0" w:space="0" w:color="auto"/>
          </w:divBdr>
        </w:div>
        <w:div w:id="1829666078">
          <w:marLeft w:val="0"/>
          <w:marRight w:val="0"/>
          <w:marTop w:val="0"/>
          <w:marBottom w:val="0"/>
          <w:divBdr>
            <w:top w:val="none" w:sz="0" w:space="0" w:color="auto"/>
            <w:left w:val="none" w:sz="0" w:space="0" w:color="auto"/>
            <w:bottom w:val="none" w:sz="0" w:space="0" w:color="auto"/>
            <w:right w:val="none" w:sz="0" w:space="0" w:color="auto"/>
          </w:divBdr>
        </w:div>
        <w:div w:id="62409658">
          <w:marLeft w:val="0"/>
          <w:marRight w:val="0"/>
          <w:marTop w:val="0"/>
          <w:marBottom w:val="0"/>
          <w:divBdr>
            <w:top w:val="none" w:sz="0" w:space="0" w:color="auto"/>
            <w:left w:val="none" w:sz="0" w:space="0" w:color="auto"/>
            <w:bottom w:val="none" w:sz="0" w:space="0" w:color="auto"/>
            <w:right w:val="none" w:sz="0" w:space="0" w:color="auto"/>
          </w:divBdr>
        </w:div>
        <w:div w:id="828137528">
          <w:marLeft w:val="0"/>
          <w:marRight w:val="0"/>
          <w:marTop w:val="0"/>
          <w:marBottom w:val="0"/>
          <w:divBdr>
            <w:top w:val="none" w:sz="0" w:space="0" w:color="auto"/>
            <w:left w:val="none" w:sz="0" w:space="0" w:color="auto"/>
            <w:bottom w:val="none" w:sz="0" w:space="0" w:color="auto"/>
            <w:right w:val="none" w:sz="0" w:space="0" w:color="auto"/>
          </w:divBdr>
        </w:div>
        <w:div w:id="1996061693">
          <w:marLeft w:val="0"/>
          <w:marRight w:val="0"/>
          <w:marTop w:val="0"/>
          <w:marBottom w:val="0"/>
          <w:divBdr>
            <w:top w:val="none" w:sz="0" w:space="0" w:color="auto"/>
            <w:left w:val="none" w:sz="0" w:space="0" w:color="auto"/>
            <w:bottom w:val="none" w:sz="0" w:space="0" w:color="auto"/>
            <w:right w:val="none" w:sz="0" w:space="0" w:color="auto"/>
          </w:divBdr>
        </w:div>
        <w:div w:id="1263609034">
          <w:marLeft w:val="0"/>
          <w:marRight w:val="0"/>
          <w:marTop w:val="0"/>
          <w:marBottom w:val="0"/>
          <w:divBdr>
            <w:top w:val="none" w:sz="0" w:space="0" w:color="auto"/>
            <w:left w:val="none" w:sz="0" w:space="0" w:color="auto"/>
            <w:bottom w:val="none" w:sz="0" w:space="0" w:color="auto"/>
            <w:right w:val="none" w:sz="0" w:space="0" w:color="auto"/>
          </w:divBdr>
        </w:div>
        <w:div w:id="2029599931">
          <w:marLeft w:val="0"/>
          <w:marRight w:val="0"/>
          <w:marTop w:val="0"/>
          <w:marBottom w:val="0"/>
          <w:divBdr>
            <w:top w:val="none" w:sz="0" w:space="0" w:color="auto"/>
            <w:left w:val="none" w:sz="0" w:space="0" w:color="auto"/>
            <w:bottom w:val="none" w:sz="0" w:space="0" w:color="auto"/>
            <w:right w:val="none" w:sz="0" w:space="0" w:color="auto"/>
          </w:divBdr>
        </w:div>
        <w:div w:id="1543176613">
          <w:marLeft w:val="0"/>
          <w:marRight w:val="0"/>
          <w:marTop w:val="0"/>
          <w:marBottom w:val="0"/>
          <w:divBdr>
            <w:top w:val="none" w:sz="0" w:space="0" w:color="auto"/>
            <w:left w:val="none" w:sz="0" w:space="0" w:color="auto"/>
            <w:bottom w:val="none" w:sz="0" w:space="0" w:color="auto"/>
            <w:right w:val="none" w:sz="0" w:space="0" w:color="auto"/>
          </w:divBdr>
        </w:div>
        <w:div w:id="833883955">
          <w:marLeft w:val="0"/>
          <w:marRight w:val="0"/>
          <w:marTop w:val="0"/>
          <w:marBottom w:val="0"/>
          <w:divBdr>
            <w:top w:val="none" w:sz="0" w:space="0" w:color="auto"/>
            <w:left w:val="none" w:sz="0" w:space="0" w:color="auto"/>
            <w:bottom w:val="none" w:sz="0" w:space="0" w:color="auto"/>
            <w:right w:val="none" w:sz="0" w:space="0" w:color="auto"/>
          </w:divBdr>
        </w:div>
        <w:div w:id="705566468">
          <w:marLeft w:val="0"/>
          <w:marRight w:val="0"/>
          <w:marTop w:val="0"/>
          <w:marBottom w:val="0"/>
          <w:divBdr>
            <w:top w:val="none" w:sz="0" w:space="0" w:color="auto"/>
            <w:left w:val="none" w:sz="0" w:space="0" w:color="auto"/>
            <w:bottom w:val="none" w:sz="0" w:space="0" w:color="auto"/>
            <w:right w:val="none" w:sz="0" w:space="0" w:color="auto"/>
          </w:divBdr>
        </w:div>
        <w:div w:id="142964629">
          <w:marLeft w:val="0"/>
          <w:marRight w:val="0"/>
          <w:marTop w:val="0"/>
          <w:marBottom w:val="0"/>
          <w:divBdr>
            <w:top w:val="none" w:sz="0" w:space="0" w:color="auto"/>
            <w:left w:val="none" w:sz="0" w:space="0" w:color="auto"/>
            <w:bottom w:val="none" w:sz="0" w:space="0" w:color="auto"/>
            <w:right w:val="none" w:sz="0" w:space="0" w:color="auto"/>
          </w:divBdr>
        </w:div>
        <w:div w:id="852652349">
          <w:marLeft w:val="0"/>
          <w:marRight w:val="0"/>
          <w:marTop w:val="0"/>
          <w:marBottom w:val="0"/>
          <w:divBdr>
            <w:top w:val="none" w:sz="0" w:space="0" w:color="auto"/>
            <w:left w:val="none" w:sz="0" w:space="0" w:color="auto"/>
            <w:bottom w:val="none" w:sz="0" w:space="0" w:color="auto"/>
            <w:right w:val="none" w:sz="0" w:space="0" w:color="auto"/>
          </w:divBdr>
        </w:div>
        <w:div w:id="1560823845">
          <w:marLeft w:val="0"/>
          <w:marRight w:val="0"/>
          <w:marTop w:val="0"/>
          <w:marBottom w:val="0"/>
          <w:divBdr>
            <w:top w:val="none" w:sz="0" w:space="0" w:color="auto"/>
            <w:left w:val="none" w:sz="0" w:space="0" w:color="auto"/>
            <w:bottom w:val="none" w:sz="0" w:space="0" w:color="auto"/>
            <w:right w:val="none" w:sz="0" w:space="0" w:color="auto"/>
          </w:divBdr>
        </w:div>
        <w:div w:id="1245452891">
          <w:marLeft w:val="0"/>
          <w:marRight w:val="0"/>
          <w:marTop w:val="0"/>
          <w:marBottom w:val="0"/>
          <w:divBdr>
            <w:top w:val="none" w:sz="0" w:space="0" w:color="auto"/>
            <w:left w:val="none" w:sz="0" w:space="0" w:color="auto"/>
            <w:bottom w:val="none" w:sz="0" w:space="0" w:color="auto"/>
            <w:right w:val="none" w:sz="0" w:space="0" w:color="auto"/>
          </w:divBdr>
        </w:div>
        <w:div w:id="746145865">
          <w:marLeft w:val="0"/>
          <w:marRight w:val="0"/>
          <w:marTop w:val="0"/>
          <w:marBottom w:val="0"/>
          <w:divBdr>
            <w:top w:val="none" w:sz="0" w:space="0" w:color="auto"/>
            <w:left w:val="none" w:sz="0" w:space="0" w:color="auto"/>
            <w:bottom w:val="none" w:sz="0" w:space="0" w:color="auto"/>
            <w:right w:val="none" w:sz="0" w:space="0" w:color="auto"/>
          </w:divBdr>
        </w:div>
        <w:div w:id="834415235">
          <w:marLeft w:val="0"/>
          <w:marRight w:val="0"/>
          <w:marTop w:val="0"/>
          <w:marBottom w:val="0"/>
          <w:divBdr>
            <w:top w:val="none" w:sz="0" w:space="0" w:color="auto"/>
            <w:left w:val="none" w:sz="0" w:space="0" w:color="auto"/>
            <w:bottom w:val="none" w:sz="0" w:space="0" w:color="auto"/>
            <w:right w:val="none" w:sz="0" w:space="0" w:color="auto"/>
          </w:divBdr>
        </w:div>
        <w:div w:id="1936984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9B8E-2B95-4925-90DE-B4EFC95E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2017-01-24T19:10:00Z</dcterms:created>
  <dcterms:modified xsi:type="dcterms:W3CDTF">2017-05-10T14:33:00Z</dcterms:modified>
</cp:coreProperties>
</file>